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FA" w:rsidRDefault="005038B1">
      <w:pPr>
        <w:spacing w:line="100" w:lineRule="atLeast"/>
      </w:pPr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  <w:r>
        <w:rPr>
          <w:rFonts w:ascii="StobiSerif Regular" w:eastAsia="Times New Roman" w:hAnsi="StobiSerif Regular" w:cs="StobiSerif Regular"/>
          <w:lang w:eastAsia="ar-SA"/>
        </w:rPr>
        <w:t xml:space="preserve">  </w:t>
      </w:r>
    </w:p>
    <w:tbl>
      <w:tblPr>
        <w:tblW w:w="0" w:type="auto"/>
        <w:tblInd w:w="-44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6D21FA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6D21FA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6D21FA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6D21FA" w:rsidRDefault="006D21FA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6D21FA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8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D21FA" w:rsidRPr="00130D6E" w:rsidRDefault="00130D6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6D21FA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6D21FA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6D21FA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6D21FA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6D21FA" w:rsidRDefault="006D21FA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6D21FA" w:rsidRDefault="006D21FA">
      <w:pPr>
        <w:spacing w:line="100" w:lineRule="atLeast"/>
        <w:jc w:val="center"/>
      </w:pPr>
    </w:p>
    <w:p w:rsidR="006D21FA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Назив на субјектот </w:t>
      </w:r>
      <w:r w:rsidR="00130D6E">
        <w:rPr>
          <w:rFonts w:ascii="StobiSerif Regular" w:hAnsi="StobiSerif Regular" w:cs="StobiSerif Regular"/>
          <w:color w:val="000000"/>
          <w:sz w:val="20"/>
          <w:szCs w:val="20"/>
        </w:rPr>
        <w:t>ЈЗУ УК за радиотерапија и онкологија Скопје</w:t>
      </w:r>
    </w:p>
    <w:p w:rsidR="006D21FA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Адреса, седиште и телефон </w:t>
      </w:r>
      <w:r w:rsidR="00130D6E">
        <w:rPr>
          <w:rFonts w:ascii="StobiSerif Regular" w:hAnsi="StobiSerif Regular" w:cs="StobiSerif Regular"/>
          <w:color w:val="000000"/>
          <w:sz w:val="20"/>
          <w:szCs w:val="20"/>
        </w:rPr>
        <w:t>Бул.Мајка Тереза, 17, Скопје</w:t>
      </w:r>
    </w:p>
    <w:p w:rsidR="006D21FA" w:rsidRPr="00130D6E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</w:t>
      </w:r>
      <w:r w:rsidR="00130D6E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radioth@t.home.mk</w:t>
      </w:r>
    </w:p>
    <w:p w:rsidR="006D21FA" w:rsidRPr="00130D6E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Единствен даночен број </w:t>
      </w:r>
      <w:r w:rsidR="00130D6E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4030007645660</w:t>
      </w:r>
    </w:p>
    <w:p w:rsidR="006D21FA" w:rsidRDefault="006D21FA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6D21FA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6D21FA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6D21FA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6D21FA" w:rsidRDefault="005038B1">
      <w:pPr>
        <w:spacing w:line="100" w:lineRule="atLeast"/>
        <w:jc w:val="righ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6D21FA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1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издатоци за истражување и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развој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дна 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Тековна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6D21FA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Ред.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6D21FA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6D21FA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170" w:rsidRDefault="002F7170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2F7170" w:rsidRPr="002F7170" w:rsidRDefault="002F7170" w:rsidP="002F7170">
            <w:pPr>
              <w:rPr>
                <w:rFonts w:hint="eastAsia"/>
              </w:rPr>
            </w:pPr>
          </w:p>
          <w:p w:rsidR="006D21FA" w:rsidRPr="002F7170" w:rsidRDefault="002F7170" w:rsidP="002F7170">
            <w:pPr>
              <w:jc w:val="center"/>
              <w:rPr>
                <w:rFonts w:hint="eastAsia"/>
              </w:rPr>
            </w:pPr>
            <w:r>
              <w:t>495.745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2922" w:rsidRDefault="0017292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172922" w:rsidRDefault="00172922" w:rsidP="00172922"/>
          <w:p w:rsidR="006D21FA" w:rsidRPr="00172922" w:rsidRDefault="006D21FA" w:rsidP="00172922">
            <w:pPr>
              <w:jc w:val="center"/>
              <w:rPr>
                <w:lang w:val="en-US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2294" w:rsidRDefault="00C42294" w:rsidP="00F45385">
            <w:pPr>
              <w:jc w:val="center"/>
              <w:rPr>
                <w:lang w:val="en-US"/>
              </w:rPr>
            </w:pPr>
          </w:p>
          <w:p w:rsidR="006D21FA" w:rsidRPr="00C42294" w:rsidRDefault="006D21FA" w:rsidP="00C42294">
            <w:pPr>
              <w:jc w:val="center"/>
              <w:rPr>
                <w:lang w:val="en-US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6D21FA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6D21FA" w:rsidRDefault="006D21FA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2922" w:rsidRDefault="00172922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172922" w:rsidRPr="00172922" w:rsidRDefault="00172922" w:rsidP="00172922"/>
          <w:p w:rsidR="00172922" w:rsidRPr="00172922" w:rsidRDefault="00172922" w:rsidP="00172922"/>
          <w:p w:rsidR="00172922" w:rsidRPr="00172922" w:rsidRDefault="00172922" w:rsidP="00172922"/>
          <w:p w:rsidR="00172922" w:rsidRDefault="00172922" w:rsidP="00172922"/>
          <w:p w:rsidR="006D21FA" w:rsidRPr="00A8569D" w:rsidRDefault="006478B3" w:rsidP="0037141E">
            <w:pPr>
              <w:jc w:val="center"/>
            </w:pPr>
            <w:r>
              <w:rPr>
                <w:lang w:val="en-US"/>
              </w:rPr>
              <w:t>2.109.342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2294" w:rsidRDefault="00C42294" w:rsidP="00F45385">
            <w:pPr>
              <w:jc w:val="center"/>
              <w:rPr>
                <w:lang w:val="en-US"/>
              </w:rPr>
            </w:pPr>
          </w:p>
          <w:p w:rsidR="00C42294" w:rsidRPr="00C42294" w:rsidRDefault="00C42294" w:rsidP="00C42294">
            <w:pPr>
              <w:rPr>
                <w:lang w:val="en-US"/>
              </w:rPr>
            </w:pPr>
          </w:p>
          <w:p w:rsidR="00C42294" w:rsidRPr="00C42294" w:rsidRDefault="00C42294" w:rsidP="00C42294">
            <w:pPr>
              <w:rPr>
                <w:lang w:val="en-US"/>
              </w:rPr>
            </w:pPr>
          </w:p>
          <w:p w:rsidR="00C42294" w:rsidRPr="00C42294" w:rsidRDefault="00C42294" w:rsidP="00C42294">
            <w:pPr>
              <w:rPr>
                <w:lang w:val="en-US"/>
              </w:rPr>
            </w:pPr>
          </w:p>
          <w:p w:rsidR="00C42294" w:rsidRDefault="00C42294" w:rsidP="00C42294">
            <w:pPr>
              <w:rPr>
                <w:lang w:val="en-US"/>
              </w:rPr>
            </w:pPr>
          </w:p>
          <w:p w:rsidR="006D21FA" w:rsidRPr="008D7ACA" w:rsidRDefault="002F7170" w:rsidP="00845F81">
            <w:pPr>
              <w:jc w:val="center"/>
            </w:pPr>
            <w:r>
              <w:t>2.132.010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6D21FA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015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Default="0006048E" w:rsidP="0006048E"/>
          <w:p w:rsidR="006D21FA" w:rsidRPr="006478B3" w:rsidRDefault="006478B3" w:rsidP="00C45498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543.199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5593" w:rsidRDefault="001E5593" w:rsidP="008D7ACA">
            <w:pPr>
              <w:jc w:val="center"/>
            </w:pPr>
          </w:p>
          <w:p w:rsidR="001E5593" w:rsidRDefault="001E5593" w:rsidP="001E5593">
            <w:pPr>
              <w:jc w:val="center"/>
            </w:pPr>
          </w:p>
          <w:p w:rsidR="001E5593" w:rsidRDefault="001E5593" w:rsidP="001E5593">
            <w:pPr>
              <w:jc w:val="center"/>
            </w:pPr>
            <w:r>
              <w:t>601.988</w:t>
            </w:r>
          </w:p>
          <w:p w:rsidR="006D21FA" w:rsidRPr="001E5593" w:rsidRDefault="001E5593" w:rsidP="001E5593">
            <w:pPr>
              <w:tabs>
                <w:tab w:val="left" w:pos="1260"/>
              </w:tabs>
            </w:pPr>
            <w:r>
              <w:tab/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Pr="00FE362C" w:rsidRDefault="00FE362C" w:rsidP="000604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93.669.916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5593" w:rsidRDefault="001E5593" w:rsidP="006D625B">
            <w:pPr>
              <w:jc w:val="center"/>
            </w:pPr>
          </w:p>
          <w:p w:rsidR="006D21FA" w:rsidRPr="001E5593" w:rsidRDefault="001E5593" w:rsidP="001E5593">
            <w:pPr>
              <w:jc w:val="center"/>
            </w:pPr>
            <w:r>
              <w:t>26.732.767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Договорни 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A865FD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923A8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1.840.700</w:t>
            </w:r>
            <w:r w:rsidR="005038B1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Pr="0006048E" w:rsidRDefault="0006048E" w:rsidP="0006048E">
            <w:pPr>
              <w:jc w:val="right"/>
            </w:pPr>
          </w:p>
          <w:p w:rsidR="0006048E" w:rsidRPr="0006048E" w:rsidRDefault="0006048E" w:rsidP="0006048E">
            <w:pPr>
              <w:jc w:val="right"/>
            </w:pPr>
          </w:p>
          <w:p w:rsidR="0006048E" w:rsidRDefault="0006048E" w:rsidP="0006048E">
            <w:pPr>
              <w:jc w:val="right"/>
            </w:pPr>
          </w:p>
          <w:p w:rsidR="006D21FA" w:rsidRPr="00FE362C" w:rsidRDefault="00FE362C" w:rsidP="000604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1.500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5593" w:rsidRDefault="001E5593" w:rsidP="006D625B">
            <w:pPr>
              <w:jc w:val="center"/>
            </w:pPr>
          </w:p>
          <w:p w:rsidR="001E5593" w:rsidRPr="001E5593" w:rsidRDefault="001E5593" w:rsidP="001E5593"/>
          <w:p w:rsidR="001E5593" w:rsidRPr="001E5593" w:rsidRDefault="001E5593" w:rsidP="001E5593"/>
          <w:p w:rsidR="001E5593" w:rsidRDefault="001E5593" w:rsidP="001E5593"/>
          <w:p w:rsidR="006D21FA" w:rsidRPr="001E5593" w:rsidRDefault="001E5593" w:rsidP="001E5593">
            <w:pPr>
              <w:jc w:val="right"/>
            </w:pPr>
            <w:r>
              <w:t>750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6D21FA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Pr="0006048E" w:rsidRDefault="0006048E" w:rsidP="0006048E">
            <w:pPr>
              <w:jc w:val="right"/>
            </w:pPr>
          </w:p>
          <w:p w:rsidR="0006048E" w:rsidRPr="0006048E" w:rsidRDefault="0006048E" w:rsidP="0006048E">
            <w:pPr>
              <w:jc w:val="right"/>
            </w:pPr>
          </w:p>
          <w:p w:rsidR="0006048E" w:rsidRPr="0006048E" w:rsidRDefault="0006048E" w:rsidP="0006048E">
            <w:pPr>
              <w:jc w:val="right"/>
            </w:pPr>
          </w:p>
          <w:p w:rsidR="0006048E" w:rsidRDefault="0006048E" w:rsidP="0006048E">
            <w:pPr>
              <w:jc w:val="right"/>
            </w:pPr>
          </w:p>
          <w:p w:rsidR="006D21FA" w:rsidRPr="00FE362C" w:rsidRDefault="00FE362C" w:rsidP="000604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4.823.844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5593" w:rsidRDefault="001E5593" w:rsidP="006D625B">
            <w:pPr>
              <w:jc w:val="center"/>
            </w:pPr>
          </w:p>
          <w:p w:rsidR="001E5593" w:rsidRPr="001E5593" w:rsidRDefault="001E5593" w:rsidP="001E5593"/>
          <w:p w:rsidR="001E5593" w:rsidRDefault="001E5593" w:rsidP="001E5593">
            <w:pPr>
              <w:tabs>
                <w:tab w:val="left" w:pos="1230"/>
              </w:tabs>
            </w:pPr>
          </w:p>
          <w:p w:rsidR="001E5593" w:rsidRDefault="001E5593" w:rsidP="001E5593"/>
          <w:p w:rsidR="001E5593" w:rsidRDefault="001E5593" w:rsidP="001E5593">
            <w:pPr>
              <w:jc w:val="center"/>
            </w:pPr>
          </w:p>
          <w:p w:rsidR="00AA1C94" w:rsidRPr="001E5593" w:rsidRDefault="001E5593" w:rsidP="001E5593">
            <w:pPr>
              <w:jc w:val="center"/>
            </w:pPr>
            <w:r>
              <w:t>5.752.914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C768C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68C7" w:rsidRDefault="00C768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768C7" w:rsidRDefault="00C768C7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C768C7" w:rsidRDefault="00C768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68C7" w:rsidRDefault="00C768C7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68C7" w:rsidRDefault="00C768C7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68C7" w:rsidRDefault="00C768C7" w:rsidP="00A865FD">
            <w:pPr>
              <w:jc w:val="right"/>
              <w:rPr>
                <w:lang w:val="en-US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C768C7" w:rsidRDefault="00C768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C768C7" w:rsidRDefault="00C768C7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C768C7" w:rsidRDefault="00C768C7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Default="0006048E" w:rsidP="0006048E">
            <w:pPr>
              <w:jc w:val="right"/>
            </w:pPr>
          </w:p>
          <w:p w:rsidR="006D21FA" w:rsidRPr="0006048E" w:rsidRDefault="006D21FA" w:rsidP="0006048E">
            <w:pPr>
              <w:jc w:val="right"/>
              <w:rPr>
                <w:lang w:val="en-US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Pr="00D0241D" w:rsidRDefault="006D21FA" w:rsidP="00D0241D">
            <w:pPr>
              <w:jc w:val="right"/>
              <w:rPr>
                <w:lang w:val="en-US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6D21FA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Pr="0006048E" w:rsidRDefault="0006048E" w:rsidP="0006048E">
            <w:pPr>
              <w:jc w:val="right"/>
            </w:pPr>
          </w:p>
          <w:p w:rsidR="0006048E" w:rsidRPr="0006048E" w:rsidRDefault="0006048E" w:rsidP="0006048E">
            <w:pPr>
              <w:jc w:val="right"/>
            </w:pPr>
          </w:p>
          <w:p w:rsidR="0006048E" w:rsidRPr="0006048E" w:rsidRDefault="0006048E" w:rsidP="0006048E">
            <w:pPr>
              <w:jc w:val="right"/>
            </w:pPr>
          </w:p>
          <w:p w:rsidR="0006048E" w:rsidRDefault="0006048E" w:rsidP="0006048E">
            <w:pPr>
              <w:jc w:val="right"/>
            </w:pPr>
          </w:p>
          <w:p w:rsidR="006D21FA" w:rsidRPr="00FE362C" w:rsidRDefault="00FE362C" w:rsidP="00A8569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2.417.276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5593" w:rsidRDefault="001E5593" w:rsidP="006D625B">
            <w:pPr>
              <w:jc w:val="center"/>
            </w:pPr>
          </w:p>
          <w:p w:rsidR="001E5593" w:rsidRPr="001E5593" w:rsidRDefault="001E5593" w:rsidP="001E5593"/>
          <w:p w:rsidR="001E5593" w:rsidRPr="001E5593" w:rsidRDefault="001E5593" w:rsidP="001E5593"/>
          <w:p w:rsidR="001E5593" w:rsidRPr="001E5593" w:rsidRDefault="001E5593" w:rsidP="001E5593"/>
          <w:p w:rsidR="001E5593" w:rsidRDefault="001E5593" w:rsidP="001E5593"/>
          <w:p w:rsidR="006D21FA" w:rsidRPr="001E5593" w:rsidRDefault="001E5593" w:rsidP="001E5593">
            <w:pPr>
              <w:jc w:val="center"/>
            </w:pPr>
            <w:r>
              <w:t>2.275.514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A865FD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/>
              </w:rPr>
              <w:t>8.</w:t>
            </w:r>
            <w:r w:rsidR="005038B1"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6D21FA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D0241D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D0241D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6048E" w:rsidRDefault="0006048E" w:rsidP="0006048E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6048E" w:rsidRPr="0006048E" w:rsidRDefault="0006048E" w:rsidP="0006048E">
            <w:pPr>
              <w:jc w:val="right"/>
            </w:pPr>
          </w:p>
          <w:p w:rsidR="006D21FA" w:rsidRPr="00FE362C" w:rsidRDefault="00FE362C" w:rsidP="0006048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122.226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5593" w:rsidRDefault="001E5593" w:rsidP="006D625B">
            <w:pPr>
              <w:jc w:val="center"/>
            </w:pPr>
          </w:p>
          <w:p w:rsidR="001E5593" w:rsidRDefault="001E5593" w:rsidP="001E5593"/>
          <w:p w:rsidR="006D21FA" w:rsidRPr="001E5593" w:rsidRDefault="001E5593" w:rsidP="001E5593">
            <w:pPr>
              <w:jc w:val="center"/>
            </w:pPr>
            <w:r>
              <w:t>246.025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D0241D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6D21FA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6D21FA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6D21FA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6D21FA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6D21FA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6D21FA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E3594" w:rsidRDefault="005E3594" w:rsidP="005E3594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5E3594" w:rsidRPr="005E3594" w:rsidRDefault="005E3594" w:rsidP="005E3594">
            <w:pPr>
              <w:jc w:val="right"/>
            </w:pPr>
          </w:p>
          <w:p w:rsidR="005E3594" w:rsidRDefault="005E3594" w:rsidP="005E3594">
            <w:pPr>
              <w:jc w:val="right"/>
            </w:pPr>
          </w:p>
          <w:p w:rsidR="006D21FA" w:rsidRPr="00D10452" w:rsidRDefault="00D10452" w:rsidP="00430E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92.744.594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5593" w:rsidRDefault="001E5593" w:rsidP="005B2B9C">
            <w:pPr>
              <w:jc w:val="center"/>
            </w:pPr>
          </w:p>
          <w:p w:rsidR="001E5593" w:rsidRPr="001E5593" w:rsidRDefault="001E5593" w:rsidP="001E5593"/>
          <w:p w:rsidR="001E5593" w:rsidRDefault="001E5593" w:rsidP="001E5593"/>
          <w:p w:rsidR="006D21FA" w:rsidRPr="001E5593" w:rsidRDefault="001E5593" w:rsidP="001E5593">
            <w:pPr>
              <w:jc w:val="center"/>
            </w:pPr>
            <w:r>
              <w:t>37.048.656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 w:rsidP="00A865FD">
            <w:pPr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 w:rsidP="00A865FD">
            <w:pPr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6D21FA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5E3594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 w:rsidP="005E3594">
            <w:pPr>
              <w:pStyle w:val="TableContents"/>
              <w:snapToGrid w:val="0"/>
              <w:jc w:val="righ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6D21FA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6D21FA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6D21FA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21FA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21FA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625B" w:rsidRDefault="006D625B" w:rsidP="00112C5E">
            <w:pPr>
              <w:jc w:val="right"/>
            </w:pPr>
          </w:p>
          <w:p w:rsidR="006D625B" w:rsidRPr="006D625B" w:rsidRDefault="006D625B" w:rsidP="006D625B"/>
          <w:p w:rsidR="006D625B" w:rsidRDefault="006D625B" w:rsidP="006D625B"/>
          <w:p w:rsidR="006D21FA" w:rsidRPr="00D10452" w:rsidRDefault="006D625B" w:rsidP="00D10452">
            <w:pPr>
              <w:jc w:val="center"/>
              <w:rPr>
                <w:lang w:val="en-US"/>
              </w:rPr>
            </w:pPr>
            <w:r>
              <w:t>2</w:t>
            </w:r>
            <w:r w:rsidR="00D10452">
              <w:rPr>
                <w:lang w:val="en-US"/>
              </w:rPr>
              <w:t>27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5593" w:rsidRDefault="001E5593" w:rsidP="006D625B">
            <w:pPr>
              <w:jc w:val="center"/>
            </w:pPr>
          </w:p>
          <w:p w:rsidR="001E5593" w:rsidRPr="001E5593" w:rsidRDefault="001E5593" w:rsidP="001E5593"/>
          <w:p w:rsidR="001E5593" w:rsidRDefault="001E5593" w:rsidP="001E5593">
            <w:pPr>
              <w:jc w:val="center"/>
            </w:pPr>
          </w:p>
          <w:p w:rsidR="001E5593" w:rsidRDefault="001E5593" w:rsidP="001E5593">
            <w:pPr>
              <w:jc w:val="center"/>
            </w:pPr>
            <w:bookmarkStart w:id="0" w:name="_GoBack"/>
            <w:bookmarkEnd w:id="0"/>
            <w:r>
              <w:t>219</w:t>
            </w:r>
          </w:p>
          <w:p w:rsidR="00BB7AAB" w:rsidRPr="001E5593" w:rsidRDefault="00BB7AAB" w:rsidP="001E5593">
            <w:pPr>
              <w:tabs>
                <w:tab w:val="left" w:pos="1170"/>
              </w:tabs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6D21FA" w:rsidRDefault="006D21FA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6D21FA" w:rsidRDefault="006D21FA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6D21FA" w:rsidRDefault="006D21FA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6D21FA" w:rsidRDefault="006D21FA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6D21FA">
        <w:trPr>
          <w:trHeight w:val="587"/>
        </w:trPr>
        <w:tc>
          <w:tcPr>
            <w:tcW w:w="2884" w:type="dxa"/>
            <w:shd w:val="clear" w:color="auto" w:fill="auto"/>
          </w:tcPr>
          <w:p w:rsidR="006D21FA" w:rsidRDefault="006D21F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Pr="00CA1AD9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Во </w:t>
            </w:r>
            <w:r w:rsidR="00CA1AD9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Скопје</w:t>
            </w:r>
          </w:p>
          <w:p w:rsidR="006D21FA" w:rsidRDefault="006D21F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Pr="00FB7513" w:rsidRDefault="005038B1" w:rsidP="00CD0AB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 ден </w:t>
            </w:r>
            <w:r w:rsidR="000F2506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</w:t>
            </w:r>
            <w:r w:rsidR="00CD0AB6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9</w:t>
            </w:r>
            <w:r w:rsidR="000F2506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.02.20</w:t>
            </w:r>
            <w:r w:rsidR="000F2506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</w:t>
            </w:r>
            <w:r w:rsidR="00CD0AB6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880" w:type="dxa"/>
            <w:shd w:val="clear" w:color="auto" w:fill="auto"/>
          </w:tcPr>
          <w:p w:rsidR="006D21FA" w:rsidRDefault="006D21F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6D21FA" w:rsidRDefault="006D21F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6D21FA" w:rsidRDefault="006D21FA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6D21FA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6D21FA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_________________________                                            _____________</w:t>
      </w:r>
    </w:p>
    <w:p w:rsidR="006D21FA" w:rsidRDefault="006D21FA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6D21FA" w:rsidRDefault="006D21FA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6D21FA" w:rsidRDefault="006D21FA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9B6819" w:rsidRDefault="009B6819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6D21FA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6D21FA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6D21FA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6D21FA" w:rsidRDefault="006D21FA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6D21FA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6D21FA" w:rsidRDefault="006D21FA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6D21FA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6D21FA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6D21FA" w:rsidRDefault="006D21FA"/>
    <w:p w:rsidR="006D21FA" w:rsidRDefault="006D21FA">
      <w:pPr>
        <w:rPr>
          <w:color w:val="000000"/>
          <w:sz w:val="20"/>
          <w:szCs w:val="20"/>
        </w:rPr>
      </w:pPr>
    </w:p>
    <w:p w:rsidR="006D21FA" w:rsidRDefault="006D21FA">
      <w:pPr>
        <w:rPr>
          <w:color w:val="000000"/>
          <w:sz w:val="20"/>
          <w:szCs w:val="20"/>
        </w:rPr>
      </w:pPr>
    </w:p>
    <w:p w:rsidR="005038B1" w:rsidRDefault="005038B1"/>
    <w:sectPr w:rsidR="005038B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301" w:rsidRDefault="00697301">
      <w:r>
        <w:separator/>
      </w:r>
    </w:p>
  </w:endnote>
  <w:endnote w:type="continuationSeparator" w:id="0">
    <w:p w:rsidR="00697301" w:rsidRDefault="0069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obiSerif Regular">
    <w:altName w:val="MS Gothic"/>
    <w:charset w:val="80"/>
    <w:family w:val="moder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301" w:rsidRDefault="00697301">
      <w:r>
        <w:separator/>
      </w:r>
    </w:p>
  </w:footnote>
  <w:footnote w:type="continuationSeparator" w:id="0">
    <w:p w:rsidR="00697301" w:rsidRDefault="00697301">
      <w:r>
        <w:continuationSeparator/>
      </w:r>
    </w:p>
  </w:footnote>
  <w:footnote w:id="1">
    <w:p w:rsidR="00C42294" w:rsidRDefault="00C42294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2">
    <w:p w:rsidR="00C42294" w:rsidRDefault="00C42294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3">
    <w:p w:rsidR="00C42294" w:rsidRDefault="00C42294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Хардвер и периферни единици, машини за обработка на податоци, печатари, скенери и слично. </w:t>
      </w:r>
    </w:p>
    <w:p w:rsidR="00C42294" w:rsidRDefault="00C42294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A"/>
    <w:rsid w:val="000273FC"/>
    <w:rsid w:val="000327DC"/>
    <w:rsid w:val="00054C11"/>
    <w:rsid w:val="0006048E"/>
    <w:rsid w:val="000E570C"/>
    <w:rsid w:val="000F2506"/>
    <w:rsid w:val="00112C5E"/>
    <w:rsid w:val="00130D6E"/>
    <w:rsid w:val="00132C6A"/>
    <w:rsid w:val="00144D8A"/>
    <w:rsid w:val="00172922"/>
    <w:rsid w:val="001C77A3"/>
    <w:rsid w:val="001E5593"/>
    <w:rsid w:val="00203786"/>
    <w:rsid w:val="002F7170"/>
    <w:rsid w:val="00327940"/>
    <w:rsid w:val="003402B0"/>
    <w:rsid w:val="0035360F"/>
    <w:rsid w:val="0037141E"/>
    <w:rsid w:val="003C07EE"/>
    <w:rsid w:val="00417561"/>
    <w:rsid w:val="00430E69"/>
    <w:rsid w:val="00470809"/>
    <w:rsid w:val="004C24F2"/>
    <w:rsid w:val="004D7C8D"/>
    <w:rsid w:val="005038B1"/>
    <w:rsid w:val="005171B2"/>
    <w:rsid w:val="005726C1"/>
    <w:rsid w:val="005B2B9C"/>
    <w:rsid w:val="005E3594"/>
    <w:rsid w:val="006478B3"/>
    <w:rsid w:val="00675C5E"/>
    <w:rsid w:val="00697301"/>
    <w:rsid w:val="006D21FA"/>
    <w:rsid w:val="006D625B"/>
    <w:rsid w:val="00827E2D"/>
    <w:rsid w:val="00845F81"/>
    <w:rsid w:val="00857E15"/>
    <w:rsid w:val="00890FF5"/>
    <w:rsid w:val="008D7ACA"/>
    <w:rsid w:val="00923A86"/>
    <w:rsid w:val="009B6819"/>
    <w:rsid w:val="00A06F8E"/>
    <w:rsid w:val="00A8569D"/>
    <w:rsid w:val="00A865FD"/>
    <w:rsid w:val="00AA1C94"/>
    <w:rsid w:val="00AB2ADE"/>
    <w:rsid w:val="00AF4671"/>
    <w:rsid w:val="00B31CE5"/>
    <w:rsid w:val="00B42903"/>
    <w:rsid w:val="00B548E5"/>
    <w:rsid w:val="00BB7AAB"/>
    <w:rsid w:val="00C104DB"/>
    <w:rsid w:val="00C33B96"/>
    <w:rsid w:val="00C42294"/>
    <w:rsid w:val="00C45498"/>
    <w:rsid w:val="00C50571"/>
    <w:rsid w:val="00C768C7"/>
    <w:rsid w:val="00CA1AD9"/>
    <w:rsid w:val="00CC0C03"/>
    <w:rsid w:val="00CD0AB6"/>
    <w:rsid w:val="00D0241D"/>
    <w:rsid w:val="00D10452"/>
    <w:rsid w:val="00D132BB"/>
    <w:rsid w:val="00E12484"/>
    <w:rsid w:val="00F11AA1"/>
    <w:rsid w:val="00F45385"/>
    <w:rsid w:val="00FB7513"/>
    <w:rsid w:val="00FD72E9"/>
    <w:rsid w:val="00FE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Zane</cp:lastModifiedBy>
  <cp:revision>50</cp:revision>
  <cp:lastPrinted>2019-02-11T12:04:00Z</cp:lastPrinted>
  <dcterms:created xsi:type="dcterms:W3CDTF">2015-01-26T10:48:00Z</dcterms:created>
  <dcterms:modified xsi:type="dcterms:W3CDTF">2024-02-09T09:50:00Z</dcterms:modified>
</cp:coreProperties>
</file>